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0" w:firstLineChars="0"/>
        <w:jc w:val="righ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呼司字〔</w:t>
      </w:r>
      <w:r>
        <w:rPr>
          <w:rFonts w:hint="eastAsia" w:ascii="仿宋_GB2312" w:hAnsi="仿宋_GB2312" w:eastAsia="仿宋_GB2312" w:cs="仿宋_GB2312"/>
          <w:sz w:val="32"/>
          <w:szCs w:val="32"/>
          <w:lang w:val="en-US" w:eastAsia="zh-CN"/>
        </w:rPr>
        <w:t>202</w:t>
      </w:r>
      <w:r>
        <w:rPr>
          <w:rFonts w:hint="default" w:ascii="仿宋_GB2312" w:hAnsi="仿宋_GB2312" w:eastAsia="仿宋_GB2312" w:cs="仿宋_GB2312"/>
          <w:sz w:val="32"/>
          <w:szCs w:val="32"/>
          <w:lang w:val="en" w:eastAsia="zh-CN"/>
        </w:rPr>
        <w:t>3</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 w:eastAsia="zh-CN"/>
        </w:rPr>
        <w:t>2</w:t>
      </w:r>
      <w:r>
        <w:rPr>
          <w:rFonts w:hint="eastAsia" w:ascii="仿宋_GB2312" w:hAnsi="仿宋_GB2312" w:eastAsia="仿宋_GB2312" w:cs="仿宋_GB2312"/>
          <w:sz w:val="32"/>
          <w:szCs w:val="32"/>
          <w:lang w:val="en-US" w:eastAsia="zh-CN"/>
        </w:rPr>
        <w:t>号</w:t>
      </w:r>
    </w:p>
    <w:p>
      <w:pPr>
        <w:keepNext w:val="0"/>
        <w:keepLines w:val="0"/>
        <w:pageBreakBefore w:val="0"/>
        <w:kinsoku/>
        <w:wordWrap/>
        <w:overflowPunct/>
        <w:topLinePunct w:val="0"/>
        <w:autoSpaceDE/>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b w:val="0"/>
          <w:bCs/>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sz w:val="44"/>
          <w:szCs w:val="44"/>
          <w:lang w:val="en" w:eastAsia="zh-CN"/>
        </w:rPr>
      </w:pPr>
      <w:r>
        <w:rPr>
          <w:rFonts w:hint="eastAsia" w:ascii="方正小标宋简体" w:hAnsi="方正小标宋简体" w:eastAsia="方正小标宋简体" w:cs="方正小标宋简体"/>
          <w:b w:val="0"/>
          <w:bCs w:val="0"/>
          <w:color w:val="000000"/>
          <w:sz w:val="44"/>
          <w:szCs w:val="44"/>
          <w:lang w:val="en" w:eastAsia="zh-CN"/>
        </w:rPr>
        <w:t>关于建立免予行政处罚、从轻行政处罚、减轻行政处罚“三张清单”工作的通知</w:t>
      </w:r>
    </w:p>
    <w:p>
      <w:pPr>
        <w:pStyle w:val="2"/>
        <w:rPr>
          <w:rFonts w:hint="eastAsia"/>
          <w:lang w:val="en"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市直各行政执法部门、驻呼伦贝尔有关单位：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为进一步优化营商环境，探索包容审慎执法方式，加快法治政府建设进程，推动我市经济高质量发展，根据《中华人民共和国行政处罚法》《优化营商环境条例》等法律法规规章、《国务院办公厅关于进一步规范行政裁量权基准制定和管理工作的意见》（国办发〔2022〕27号）和《关于做好行政裁量权基准制定和管理工作的通知》（内司通〔2022〕135号）等文件的规定，结合我市实际，现就建立免予行政处罚、从轻行政处罚、减轻行政处罚“三张清单”（以下简称行政处罚“三张清单”）工作有关事宜通知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kern w:val="2"/>
          <w:sz w:val="32"/>
          <w:szCs w:val="32"/>
          <w:lang w:val="en" w:eastAsia="zh-CN" w:bidi="ar-SA"/>
        </w:rPr>
      </w:pPr>
      <w:r>
        <w:rPr>
          <w:rFonts w:hint="eastAsia" w:ascii="黑体" w:hAnsi="黑体" w:eastAsia="黑体" w:cs="黑体"/>
          <w:kern w:val="2"/>
          <w:sz w:val="32"/>
          <w:szCs w:val="32"/>
          <w:lang w:val="en" w:eastAsia="zh-CN" w:bidi="ar-SA"/>
        </w:rPr>
        <w:t>总体要求</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行政处罚“三张清单”是规范行政处罚裁量权，推行包容审慎监管的重要举措。各行政执法部门应当依法、审慎梳理本部门涉及法律、法规、规章设定的可以免予行政处罚、从轻行政处罚和减轻行政处罚事项的违法行为，形成清单，将柔性执法理念和执法方式予以法治化、制度化、固定化。</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kern w:val="2"/>
          <w:sz w:val="32"/>
          <w:szCs w:val="32"/>
          <w:lang w:val="en" w:eastAsia="zh-CN" w:bidi="ar-SA"/>
        </w:rPr>
      </w:pPr>
      <w:r>
        <w:rPr>
          <w:rFonts w:hint="eastAsia" w:ascii="黑体" w:hAnsi="黑体" w:eastAsia="黑体" w:cs="黑体"/>
          <w:kern w:val="2"/>
          <w:sz w:val="32"/>
          <w:szCs w:val="32"/>
          <w:lang w:val="en" w:eastAsia="zh-CN" w:bidi="ar-SA"/>
        </w:rPr>
        <w:t>基本原则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1、合法性原则。要依法实施行政处罚“三张清单”编制工作，严格以《中华人民共和国行政处罚法》等法律、法规和规章为依据，坚持依法监管、执法有据，坚持“法无授权不可为”。</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2、合理性原则。进一步细化完善行政处罚自由裁量规则，以事实为依据，综合考虑违法主体的动机、目的、手段及违法行为的性质、情节、社会危害程度等情况，将行政处罚“三张清单”事项具体化和标准化。</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3、程序性原则。各行政执法部门在制定行政处罚“三张清单”时，要严格按照法定程序，充分研究论证、征求意见，确保清单全面、合法、规范、可操作。</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kern w:val="2"/>
          <w:sz w:val="32"/>
          <w:szCs w:val="32"/>
          <w:lang w:val="en" w:eastAsia="zh-CN" w:bidi="ar-SA"/>
        </w:rPr>
      </w:pPr>
      <w:r>
        <w:rPr>
          <w:rFonts w:hint="eastAsia" w:ascii="黑体" w:hAnsi="黑体" w:eastAsia="黑体" w:cs="黑体"/>
          <w:kern w:val="2"/>
          <w:sz w:val="32"/>
          <w:szCs w:val="32"/>
          <w:lang w:val="en" w:eastAsia="zh-CN" w:bidi="ar-SA"/>
        </w:rPr>
        <w:t>工作安排</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kern w:val="2"/>
          <w:sz w:val="32"/>
          <w:szCs w:val="32"/>
          <w:lang w:val="en" w:eastAsia="zh-CN" w:bidi="ar-SA"/>
        </w:rPr>
        <w:t>各行政执法部门要依据新修订的《行政处罚法》和现有行政处罚裁量标准和执法实际，明确清单范围，全面梳理本部门现行有效法律、法规</w:t>
      </w:r>
      <w:bookmarkStart w:id="0" w:name="_GoBack"/>
      <w:bookmarkEnd w:id="0"/>
      <w:r>
        <w:rPr>
          <w:rFonts w:hint="eastAsia" w:ascii="仿宋_GB2312" w:hAnsi="仿宋_GB2312" w:eastAsia="仿宋_GB2312" w:cs="仿宋_GB2312"/>
          <w:kern w:val="2"/>
          <w:sz w:val="32"/>
          <w:szCs w:val="32"/>
          <w:lang w:val="en" w:eastAsia="zh-CN" w:bidi="ar-SA"/>
        </w:rPr>
        <w:t>、规章中涉及的规定，严格按照适用情形，结合违法行为的事实、证据等进行综合判定，明确可以免予行政处罚、从轻行政处罚和减轻行政处罚情形，不得擅自放宽或者变更适用情形。</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kern w:val="2"/>
          <w:sz w:val="32"/>
          <w:szCs w:val="32"/>
          <w:lang w:val="en" w:eastAsia="zh-CN" w:bidi="ar-SA"/>
        </w:rPr>
        <w:t>免予行政处罚清单已经公布现做动态调整。各行政执法部门还需要梳理编制从轻行政处罚和减轻行政处罚清单。将已明确的违法行为、适用条件、法律依据和配套监管措施等内容填表（见附件</w:t>
      </w:r>
      <w:r>
        <w:rPr>
          <w:rFonts w:hint="eastAsia" w:ascii="仿宋_GB2312" w:hAnsi="仿宋_GB2312" w:eastAsia="仿宋_GB2312" w:cs="仿宋_GB2312"/>
          <w:kern w:val="2"/>
          <w:sz w:val="32"/>
          <w:szCs w:val="32"/>
          <w:lang w:val="en-US" w:eastAsia="zh-CN" w:bidi="ar-SA"/>
        </w:rPr>
        <w:t>1、2、3</w:t>
      </w:r>
      <w:r>
        <w:rPr>
          <w:rFonts w:hint="eastAsia" w:ascii="仿宋_GB2312" w:hAnsi="仿宋_GB2312" w:eastAsia="仿宋_GB2312" w:cs="仿宋_GB2312"/>
          <w:kern w:val="2"/>
          <w:sz w:val="32"/>
          <w:szCs w:val="32"/>
          <w:lang w:val="en" w:eastAsia="zh-CN" w:bidi="ar-SA"/>
        </w:rPr>
        <w:t>），于202</w:t>
      </w:r>
      <w:r>
        <w:rPr>
          <w:rFonts w:hint="eastAsia" w:ascii="仿宋_GB2312" w:hAnsi="仿宋_GB2312" w:eastAsia="仿宋_GB2312" w:cs="仿宋_GB2312"/>
          <w:kern w:val="2"/>
          <w:sz w:val="32"/>
          <w:szCs w:val="32"/>
          <w:lang w:val="en-US" w:eastAsia="zh-CN" w:bidi="ar-SA"/>
        </w:rPr>
        <w:t>3</w:t>
      </w:r>
      <w:r>
        <w:rPr>
          <w:rFonts w:hint="eastAsia" w:ascii="仿宋_GB2312" w:hAnsi="仿宋_GB2312" w:eastAsia="仿宋_GB2312" w:cs="仿宋_GB2312"/>
          <w:kern w:val="2"/>
          <w:sz w:val="32"/>
          <w:szCs w:val="32"/>
          <w:lang w:val="en" w:eastAsia="zh-CN" w:bidi="ar-SA"/>
        </w:rPr>
        <w:t>年</w:t>
      </w:r>
      <w:r>
        <w:rPr>
          <w:rFonts w:hint="eastAsia"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kern w:val="2"/>
          <w:sz w:val="32"/>
          <w:szCs w:val="32"/>
          <w:lang w:val="en" w:eastAsia="zh-CN" w:bidi="ar-SA"/>
        </w:rPr>
        <w:t>月</w:t>
      </w:r>
      <w:r>
        <w:rPr>
          <w:rFonts w:hint="eastAsia" w:ascii="仿宋_GB2312" w:hAnsi="仿宋_GB2312" w:eastAsia="仿宋_GB2312" w:cs="仿宋_GB2312"/>
          <w:kern w:val="2"/>
          <w:sz w:val="32"/>
          <w:szCs w:val="32"/>
          <w:lang w:val="en-US" w:eastAsia="zh-CN" w:bidi="ar-SA"/>
        </w:rPr>
        <w:t>25</w:t>
      </w:r>
      <w:r>
        <w:rPr>
          <w:rFonts w:hint="eastAsia" w:ascii="仿宋_GB2312" w:hAnsi="仿宋_GB2312" w:eastAsia="仿宋_GB2312" w:cs="仿宋_GB2312"/>
          <w:kern w:val="2"/>
          <w:sz w:val="32"/>
          <w:szCs w:val="32"/>
          <w:lang w:val="en" w:eastAsia="zh-CN" w:bidi="ar-SA"/>
        </w:rPr>
        <w:t>日前将清单以及电子文档经主要领导审签后报送市司法局行政执法协调监督科审查。经梳理确认没有相关清单的，书面说明情况。完成的行政处罚“三张清单”应以本部门正式文件形式予以印发，并将清单通过政府或部门门户网站向社会予以公示。</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US" w:eastAsia="zh-CN" w:bidi="ar-SA"/>
        </w:rPr>
        <w:t>3</w:t>
      </w:r>
      <w:r>
        <w:rPr>
          <w:rFonts w:hint="eastAsia" w:ascii="仿宋_GB2312" w:hAnsi="仿宋_GB2312" w:eastAsia="仿宋_GB2312" w:cs="仿宋_GB2312"/>
          <w:kern w:val="2"/>
          <w:sz w:val="32"/>
          <w:szCs w:val="32"/>
          <w:lang w:val="en" w:eastAsia="zh-CN" w:bidi="ar-SA"/>
        </w:rPr>
        <w:t>、建立清单动态管理机制，适时开展清单实施情况评估，对不符合行政管理需要、不便于操作执行、企业和群众争议较大等事项，及时予以调整；对清单外的其他事项，经评估依法可以纳入的，及时纳入清单。根据法律法规规章的“立改废释”情况和实际运用执行情况，及时按照合法性审核、集体讨论、文件备案、对外公布等程序对清单内容进行调整完善。</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kern w:val="2"/>
          <w:sz w:val="32"/>
          <w:szCs w:val="32"/>
          <w:lang w:val="en" w:eastAsia="zh-CN" w:bidi="ar-SA"/>
        </w:rPr>
      </w:pPr>
      <w:r>
        <w:rPr>
          <w:rFonts w:hint="eastAsia" w:ascii="黑体" w:hAnsi="黑体" w:eastAsia="黑体" w:cs="黑体"/>
          <w:kern w:val="2"/>
          <w:sz w:val="32"/>
          <w:szCs w:val="32"/>
          <w:lang w:val="en" w:eastAsia="zh-CN" w:bidi="ar-SA"/>
        </w:rPr>
        <w:t>工作要求</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一）加强组织领导。推行行政处罚“三张清单”制度，是规范行政执法行为，优化营商环境的重要抓手。各行政执法部门要高度重视，加强组织领导和统筹协调，要做好本部门免予行政处罚和从轻、减轻行政处罚清单的梳理、实施工作。</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二）注重统筹衔接。各行政执法部门要把落实行政处罚“三张清单”工作与全面推行行政执法“三项制度”、规范行政处罚裁量权等工作结合起来，统筹推进。要加强对推行行政处罚“三张清单”工作的宣传，营造良好的社会氛围。</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三）强化责任落实。各行政执法部门要及时对本部门行政执法人员进行指导，强化学习培训，准确理解行政处罚“三张清单”适用情形，统一执法尺度和标准，严格执行法制审核、集体讨论等执法程序规定，对实行清单的案件严格把关，既要避免过度性、重复性执法，又要杜绝选择性、任意性执法。</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联系人：市司法局行政执法协调监督科  8217521</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邮  箱：hlbesfjjdk@163.com</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附</w:t>
      </w:r>
      <w:r>
        <w:rPr>
          <w:rFonts w:hint="eastAsia" w:ascii="仿宋_GB2312" w:hAnsi="仿宋_GB2312" w:eastAsia="仿宋_GB2312" w:cs="仿宋_GB2312"/>
          <w:kern w:val="2"/>
          <w:sz w:val="32"/>
          <w:szCs w:val="32"/>
          <w:lang w:val="en-US" w:eastAsia="zh-CN" w:bidi="ar-SA"/>
        </w:rPr>
        <w:t xml:space="preserve">  </w:t>
      </w:r>
      <w:r>
        <w:rPr>
          <w:rFonts w:hint="eastAsia" w:ascii="仿宋_GB2312" w:hAnsi="仿宋_GB2312" w:eastAsia="仿宋_GB2312" w:cs="仿宋_GB2312"/>
          <w:kern w:val="2"/>
          <w:sz w:val="32"/>
          <w:szCs w:val="32"/>
          <w:lang w:val="en" w:eastAsia="zh-CN" w:bidi="ar-SA"/>
        </w:rPr>
        <w:t>件：1</w:t>
      </w:r>
      <w:r>
        <w:rPr>
          <w:rFonts w:hint="default" w:ascii="仿宋_GB2312" w:hAnsi="仿宋_GB2312" w:eastAsia="仿宋_GB2312" w:cs="仿宋_GB2312"/>
          <w:kern w:val="2"/>
          <w:sz w:val="32"/>
          <w:szCs w:val="32"/>
          <w:lang w:val="en" w:eastAsia="zh-CN" w:bidi="ar-SA"/>
        </w:rPr>
        <w:t>.</w:t>
      </w:r>
      <w:r>
        <w:rPr>
          <w:rFonts w:hint="eastAsia" w:ascii="仿宋_GB2312" w:hAnsi="仿宋_GB2312" w:eastAsia="仿宋_GB2312" w:cs="仿宋_GB2312"/>
          <w:kern w:val="2"/>
          <w:sz w:val="32"/>
          <w:szCs w:val="32"/>
          <w:lang w:val="en" w:eastAsia="zh-CN" w:bidi="ar-SA"/>
        </w:rPr>
        <w:t>轻微违法行为免予行政处罚清单</w:t>
      </w:r>
    </w:p>
    <w:p>
      <w:pPr>
        <w:pStyle w:val="2"/>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en" w:eastAsia="zh-CN" w:bidi="ar-SA"/>
        </w:rPr>
        <w:t>.</w:t>
      </w:r>
      <w:r>
        <w:rPr>
          <w:rFonts w:hint="eastAsia" w:ascii="仿宋_GB2312" w:hAnsi="仿宋_GB2312" w:eastAsia="仿宋_GB2312" w:cs="仿宋_GB2312"/>
          <w:kern w:val="2"/>
          <w:sz w:val="32"/>
          <w:szCs w:val="32"/>
          <w:lang w:val="en-US" w:eastAsia="zh-CN" w:bidi="ar-SA"/>
        </w:rPr>
        <w:t>一般违法行为从轻行政处罚清单</w:t>
      </w:r>
    </w:p>
    <w:p>
      <w:pPr>
        <w:pStyle w:val="2"/>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en" w:eastAsia="zh-CN" w:bidi="ar-SA"/>
        </w:rPr>
        <w:t>.</w:t>
      </w:r>
      <w:r>
        <w:rPr>
          <w:rFonts w:hint="eastAsia" w:ascii="仿宋_GB2312" w:hAnsi="仿宋_GB2312" w:eastAsia="仿宋_GB2312" w:cs="仿宋_GB2312"/>
          <w:kern w:val="2"/>
          <w:sz w:val="32"/>
          <w:szCs w:val="32"/>
          <w:lang w:val="en-US" w:eastAsia="zh-CN" w:bidi="ar-SA"/>
        </w:rPr>
        <w:t>一般违法行为减轻行政处罚清单</w:t>
      </w:r>
    </w:p>
    <w:p>
      <w:pPr>
        <w:pStyle w:val="2"/>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kern w:val="2"/>
          <w:sz w:val="32"/>
          <w:szCs w:val="32"/>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kern w:val="2"/>
          <w:sz w:val="32"/>
          <w:szCs w:val="32"/>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kern w:val="2"/>
          <w:sz w:val="32"/>
          <w:szCs w:val="32"/>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kern w:val="2"/>
          <w:sz w:val="32"/>
          <w:szCs w:val="32"/>
          <w:lang w:val="en"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kern w:val="2"/>
          <w:sz w:val="32"/>
          <w:szCs w:val="32"/>
          <w:lang w:val="en" w:eastAsia="zh-CN" w:bidi="ar-SA"/>
        </w:rPr>
      </w:pPr>
      <w:r>
        <w:rPr>
          <w:rFonts w:hint="eastAsia" w:ascii="仿宋_GB2312" w:hAnsi="仿宋_GB2312" w:eastAsia="仿宋_GB2312" w:cs="仿宋_GB2312"/>
          <w:kern w:val="2"/>
          <w:sz w:val="32"/>
          <w:szCs w:val="32"/>
          <w:lang w:val="en" w:eastAsia="zh-CN" w:bidi="ar-SA"/>
        </w:rPr>
        <w:t>呼伦贝尔市司法局</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2023年2月1</w:t>
      </w:r>
      <w:r>
        <w:rPr>
          <w:rFonts w:hint="default" w:ascii="仿宋_GB2312" w:hAnsi="仿宋_GB2312" w:eastAsia="仿宋_GB2312" w:cs="仿宋_GB2312"/>
          <w:kern w:val="2"/>
          <w:sz w:val="32"/>
          <w:szCs w:val="32"/>
          <w:lang w:val="en" w:eastAsia="zh-CN" w:bidi="ar-SA"/>
        </w:rPr>
        <w:t>3</w:t>
      </w:r>
      <w:r>
        <w:rPr>
          <w:rFonts w:hint="eastAsia" w:ascii="仿宋_GB2312" w:hAnsi="仿宋_GB2312" w:eastAsia="仿宋_GB2312" w:cs="仿宋_GB2312"/>
          <w:kern w:val="2"/>
          <w:sz w:val="32"/>
          <w:szCs w:val="32"/>
          <w:lang w:val="en-US" w:eastAsia="zh-CN" w:bidi="ar-SA"/>
        </w:rPr>
        <w:t>日</w:t>
      </w:r>
    </w:p>
    <w:p>
      <w:pPr>
        <w:pStyle w:val="2"/>
        <w:jc w:val="both"/>
        <w:rPr>
          <w:rFonts w:hint="default" w:ascii="仿宋_GB2312" w:hAnsi="仿宋_GB2312" w:eastAsia="仿宋_GB2312" w:cs="仿宋_GB2312"/>
          <w:kern w:val="2"/>
          <w:sz w:val="32"/>
          <w:szCs w:val="32"/>
          <w:lang w:val="en-US" w:eastAsia="zh-CN" w:bidi="ar-SA"/>
        </w:rPr>
      </w:pPr>
    </w:p>
    <w:p>
      <w:pPr>
        <w:pStyle w:val="2"/>
        <w:jc w:val="both"/>
        <w:rPr>
          <w:rFonts w:hint="default" w:ascii="仿宋_GB2312" w:hAnsi="仿宋_GB2312" w:eastAsia="仿宋_GB2312" w:cs="仿宋_GB2312"/>
          <w:kern w:val="2"/>
          <w:sz w:val="32"/>
          <w:szCs w:val="32"/>
          <w:lang w:val="en-US" w:eastAsia="zh-CN" w:bidi="ar-SA"/>
        </w:rPr>
        <w:sectPr>
          <w:footerReference r:id="rId3" w:type="default"/>
          <w:pgSz w:w="11906" w:h="16838"/>
          <w:pgMar w:top="2098" w:right="1587" w:bottom="1984" w:left="1587" w:header="851" w:footer="992" w:gutter="0"/>
          <w:pgNumType w:fmt="numberInDash"/>
          <w:cols w:space="720" w:num="1"/>
          <w:rtlGutter w:val="0"/>
          <w:docGrid w:type="lines" w:linePitch="312" w:charSpace="0"/>
        </w:sectPr>
      </w:pPr>
    </w:p>
    <w:p>
      <w:pPr>
        <w:pStyle w:val="2"/>
        <w:jc w:val="both"/>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附件1</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b/>
          <w:bCs/>
          <w:sz w:val="44"/>
          <w:szCs w:val="44"/>
          <w:lang w:val="en-US" w:eastAsia="zh-CN"/>
        </w:rPr>
      </w:pPr>
      <w:r>
        <w:rPr>
          <w:rFonts w:hint="default" w:ascii="仿宋_GB2312" w:hAnsi="仿宋_GB2312" w:eastAsia="仿宋_GB2312" w:cs="仿宋_GB2312"/>
          <w:b/>
          <w:bCs/>
          <w:sz w:val="44"/>
          <w:szCs w:val="44"/>
          <w:lang w:val="en-US" w:eastAsia="zh-CN"/>
        </w:rPr>
        <w:t>轻微违法行为免予</w:t>
      </w:r>
      <w:r>
        <w:rPr>
          <w:rFonts w:hint="eastAsia" w:ascii="仿宋_GB2312" w:hAnsi="仿宋_GB2312" w:eastAsia="仿宋_GB2312" w:cs="仿宋_GB2312"/>
          <w:b/>
          <w:bCs/>
          <w:sz w:val="44"/>
          <w:szCs w:val="44"/>
          <w:lang w:val="en-US" w:eastAsia="zh-CN"/>
        </w:rPr>
        <w:t>行政</w:t>
      </w:r>
      <w:r>
        <w:rPr>
          <w:rFonts w:hint="default" w:ascii="仿宋_GB2312" w:hAnsi="仿宋_GB2312" w:eastAsia="仿宋_GB2312" w:cs="仿宋_GB2312"/>
          <w:b/>
          <w:bCs/>
          <w:sz w:val="44"/>
          <w:szCs w:val="44"/>
          <w:lang w:val="en-US" w:eastAsia="zh-CN"/>
        </w:rPr>
        <w:t>处罚清单</w:t>
      </w:r>
    </w:p>
    <w:p>
      <w:pPr>
        <w:pStyle w:val="2"/>
        <w:jc w:val="both"/>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单位：</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206"/>
        <w:gridCol w:w="3730"/>
        <w:gridCol w:w="4388"/>
        <w:gridCol w:w="1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7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ascii="黑体" w:hAnsi="宋体" w:eastAsia="黑体" w:cs="黑体"/>
                <w:i w:val="0"/>
                <w:caps w:val="0"/>
                <w:color w:val="343434"/>
                <w:spacing w:val="0"/>
                <w:kern w:val="0"/>
                <w:sz w:val="28"/>
                <w:szCs w:val="28"/>
                <w:lang w:val="en-US" w:eastAsia="zh-CN" w:bidi="ar"/>
              </w:rPr>
              <w:t>序号</w:t>
            </w:r>
          </w:p>
        </w:tc>
        <w:tc>
          <w:tcPr>
            <w:tcW w:w="220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违法行为</w:t>
            </w:r>
          </w:p>
        </w:tc>
        <w:tc>
          <w:tcPr>
            <w:tcW w:w="373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免</w:t>
            </w:r>
            <w:r>
              <w:rPr>
                <w:rFonts w:ascii="黑体" w:hAnsi="宋体" w:eastAsia="黑体" w:cs="黑体"/>
                <w:i w:val="0"/>
                <w:caps w:val="0"/>
                <w:color w:val="343434"/>
                <w:spacing w:val="0"/>
                <w:kern w:val="0"/>
                <w:sz w:val="28"/>
                <w:szCs w:val="28"/>
                <w:lang w:val="en-US" w:eastAsia="zh-CN" w:bidi="ar"/>
              </w:rPr>
              <w:t>予处罚的情形</w:t>
            </w:r>
          </w:p>
        </w:tc>
        <w:tc>
          <w:tcPr>
            <w:tcW w:w="4388"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法律</w:t>
            </w:r>
            <w:r>
              <w:rPr>
                <w:rFonts w:ascii="黑体" w:hAnsi="宋体" w:eastAsia="黑体" w:cs="黑体"/>
                <w:i w:val="0"/>
                <w:caps w:val="0"/>
                <w:color w:val="343434"/>
                <w:spacing w:val="0"/>
                <w:kern w:val="0"/>
                <w:sz w:val="28"/>
                <w:szCs w:val="28"/>
                <w:lang w:val="en-US" w:eastAsia="zh-CN" w:bidi="ar"/>
              </w:rPr>
              <w:t>依据</w:t>
            </w:r>
          </w:p>
        </w:tc>
        <w:tc>
          <w:tcPr>
            <w:tcW w:w="1872"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黑体" w:hAnsi="宋体" w:eastAsia="黑体" w:cs="黑体"/>
                <w:i w:val="0"/>
                <w:caps w:val="0"/>
                <w:color w:val="343434"/>
                <w:spacing w:val="0"/>
                <w:kern w:val="0"/>
                <w:sz w:val="28"/>
                <w:szCs w:val="28"/>
                <w:lang w:val="en-US" w:eastAsia="zh-CN" w:bidi="ar"/>
              </w:rPr>
            </w:pPr>
            <w:r>
              <w:rPr>
                <w:rFonts w:hint="eastAsia" w:ascii="黑体" w:hAnsi="宋体" w:eastAsia="黑体" w:cs="黑体"/>
                <w:i w:val="0"/>
                <w:caps w:val="0"/>
                <w:color w:val="343434"/>
                <w:spacing w:val="0"/>
                <w:kern w:val="0"/>
                <w:sz w:val="28"/>
                <w:szCs w:val="28"/>
                <w:lang w:val="en-US" w:eastAsia="zh-CN" w:bidi="ar"/>
              </w:rPr>
              <w:t>配套监管</w:t>
            </w:r>
          </w:p>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default" w:ascii="仿宋_GB2312" w:hAnsi="仿宋_GB2312" w:eastAsia="仿宋_GB2312" w:cs="仿宋_GB2312"/>
                <w:b w:val="0"/>
                <w:bCs w:val="0"/>
                <w:i w:val="0"/>
                <w:caps w:val="0"/>
                <w:color w:val="auto"/>
                <w:spacing w:val="0"/>
                <w:kern w:val="0"/>
                <w:sz w:val="21"/>
                <w:szCs w:val="21"/>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t>示例1</w:t>
            </w:r>
          </w:p>
        </w:tc>
        <w:tc>
          <w:tcPr>
            <w:tcW w:w="220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t>（示例）机动车喷涂、粘贴标识或者车身广告影响安全驾驶。</w:t>
            </w: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t>（示例）实行轻微交通违法行为，对现场发现未造成影响通行和安全后果且违法行为人立即纠正。</w:t>
            </w:r>
          </w:p>
        </w:tc>
        <w:tc>
          <w:tcPr>
            <w:tcW w:w="4388"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120" w:line="560" w:lineRule="exact"/>
              <w:jc w:val="left"/>
              <w:textAlignment w:val="auto"/>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t>（示例）1、《中华人民共和国行政处罚法》第三十三条第二款规定初次违法且危害后果轻微并及时改正的，可以不予行政处罚。</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auto"/>
                <w:sz w:val="32"/>
                <w:szCs w:val="32"/>
                <w:vertAlign w:val="baseline"/>
                <w:lang w:val="en-US" w:eastAsia="zh-CN"/>
              </w:rPr>
            </w:pPr>
            <w:r>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t>2、《中华人民共和国道路交通安全法实施条例》第十三条：机动车喷涂、粘贴标识或者车身广告的，不得影响安全驾驶。</w:t>
            </w: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32"/>
                <w:szCs w:val="32"/>
                <w:vertAlign w:val="baseline"/>
                <w:lang w:val="en-US" w:eastAsia="zh-CN" w:bidi="ar-SA"/>
              </w:rPr>
            </w:pPr>
            <w:r>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220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4388"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220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4388"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r>
    </w:tbl>
    <w:p>
      <w:pPr>
        <w:widowControl w:val="0"/>
        <w:spacing w:after="120"/>
        <w:jc w:val="both"/>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附件</w:t>
      </w:r>
      <w:r>
        <w:rPr>
          <w:rFonts w:hint="eastAsia" w:ascii="仿宋_GB2312" w:hAnsi="仿宋_GB2312" w:eastAsia="仿宋_GB2312" w:cs="仿宋_GB2312"/>
          <w:kern w:val="2"/>
          <w:sz w:val="32"/>
          <w:szCs w:val="32"/>
          <w:lang w:val="en-US" w:eastAsia="zh-CN" w:bidi="ar-SA"/>
        </w:rPr>
        <w:t>2</w:t>
      </w:r>
    </w:p>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default" w:ascii="仿宋_GB2312" w:hAnsi="仿宋_GB2312" w:eastAsia="仿宋_GB2312" w:cs="仿宋_GB2312"/>
          <w:b/>
          <w:bCs/>
          <w:kern w:val="2"/>
          <w:sz w:val="44"/>
          <w:szCs w:val="44"/>
          <w:lang w:val="en-US" w:eastAsia="zh-CN" w:bidi="ar-SA"/>
        </w:rPr>
      </w:pPr>
      <w:r>
        <w:rPr>
          <w:rFonts w:hint="eastAsia" w:ascii="仿宋_GB2312" w:hAnsi="仿宋_GB2312" w:eastAsia="仿宋_GB2312" w:cs="仿宋_GB2312"/>
          <w:b/>
          <w:bCs/>
          <w:kern w:val="2"/>
          <w:sz w:val="44"/>
          <w:szCs w:val="44"/>
          <w:lang w:val="en-US" w:eastAsia="zh-CN" w:bidi="ar-SA"/>
        </w:rPr>
        <w:t>一般</w:t>
      </w:r>
      <w:r>
        <w:rPr>
          <w:rFonts w:hint="default" w:ascii="仿宋_GB2312" w:hAnsi="仿宋_GB2312" w:eastAsia="仿宋_GB2312" w:cs="仿宋_GB2312"/>
          <w:b/>
          <w:bCs/>
          <w:kern w:val="2"/>
          <w:sz w:val="44"/>
          <w:szCs w:val="44"/>
          <w:lang w:val="en-US" w:eastAsia="zh-CN" w:bidi="ar-SA"/>
        </w:rPr>
        <w:t>违法行为</w:t>
      </w:r>
      <w:r>
        <w:rPr>
          <w:rFonts w:hint="eastAsia" w:ascii="仿宋_GB2312" w:hAnsi="仿宋_GB2312" w:eastAsia="仿宋_GB2312" w:cs="仿宋_GB2312"/>
          <w:b/>
          <w:bCs/>
          <w:kern w:val="2"/>
          <w:sz w:val="44"/>
          <w:szCs w:val="44"/>
          <w:lang w:val="en-US" w:eastAsia="zh-CN" w:bidi="ar-SA"/>
        </w:rPr>
        <w:t>从轻行政</w:t>
      </w:r>
      <w:r>
        <w:rPr>
          <w:rFonts w:hint="default" w:ascii="仿宋_GB2312" w:hAnsi="仿宋_GB2312" w:eastAsia="仿宋_GB2312" w:cs="仿宋_GB2312"/>
          <w:b/>
          <w:bCs/>
          <w:kern w:val="2"/>
          <w:sz w:val="44"/>
          <w:szCs w:val="44"/>
          <w:lang w:val="en-US" w:eastAsia="zh-CN" w:bidi="ar-SA"/>
        </w:rPr>
        <w:t>处罚清单</w:t>
      </w:r>
    </w:p>
    <w:p>
      <w:pPr>
        <w:widowControl w:val="0"/>
        <w:spacing w:after="120"/>
        <w:jc w:val="both"/>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单位：</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206"/>
        <w:gridCol w:w="3730"/>
        <w:gridCol w:w="4388"/>
        <w:gridCol w:w="1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7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ascii="黑体" w:hAnsi="宋体" w:eastAsia="黑体" w:cs="黑体"/>
                <w:i w:val="0"/>
                <w:caps w:val="0"/>
                <w:color w:val="343434"/>
                <w:spacing w:val="0"/>
                <w:kern w:val="0"/>
                <w:sz w:val="28"/>
                <w:szCs w:val="28"/>
                <w:lang w:val="en-US" w:eastAsia="zh-CN" w:bidi="ar"/>
              </w:rPr>
              <w:t>序号</w:t>
            </w:r>
          </w:p>
        </w:tc>
        <w:tc>
          <w:tcPr>
            <w:tcW w:w="220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违法行为</w:t>
            </w:r>
          </w:p>
        </w:tc>
        <w:tc>
          <w:tcPr>
            <w:tcW w:w="373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从轻</w:t>
            </w:r>
            <w:r>
              <w:rPr>
                <w:rFonts w:ascii="黑体" w:hAnsi="宋体" w:eastAsia="黑体" w:cs="黑体"/>
                <w:i w:val="0"/>
                <w:caps w:val="0"/>
                <w:color w:val="343434"/>
                <w:spacing w:val="0"/>
                <w:kern w:val="0"/>
                <w:sz w:val="28"/>
                <w:szCs w:val="28"/>
                <w:lang w:val="en-US" w:eastAsia="zh-CN" w:bidi="ar"/>
              </w:rPr>
              <w:t>处罚的情形</w:t>
            </w:r>
          </w:p>
        </w:tc>
        <w:tc>
          <w:tcPr>
            <w:tcW w:w="4388"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法律</w:t>
            </w:r>
            <w:r>
              <w:rPr>
                <w:rFonts w:ascii="黑体" w:hAnsi="宋体" w:eastAsia="黑体" w:cs="黑体"/>
                <w:i w:val="0"/>
                <w:caps w:val="0"/>
                <w:color w:val="343434"/>
                <w:spacing w:val="0"/>
                <w:kern w:val="0"/>
                <w:sz w:val="28"/>
                <w:szCs w:val="28"/>
                <w:lang w:val="en-US" w:eastAsia="zh-CN" w:bidi="ar"/>
              </w:rPr>
              <w:t>依据</w:t>
            </w:r>
          </w:p>
        </w:tc>
        <w:tc>
          <w:tcPr>
            <w:tcW w:w="1872"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黑体" w:hAnsi="宋体" w:eastAsia="黑体" w:cs="黑体"/>
                <w:i w:val="0"/>
                <w:caps w:val="0"/>
                <w:color w:val="343434"/>
                <w:spacing w:val="0"/>
                <w:kern w:val="0"/>
                <w:sz w:val="28"/>
                <w:szCs w:val="28"/>
                <w:lang w:val="en-US" w:eastAsia="zh-CN" w:bidi="ar"/>
              </w:rPr>
            </w:pPr>
            <w:r>
              <w:rPr>
                <w:rFonts w:hint="eastAsia" w:ascii="黑体" w:hAnsi="宋体" w:eastAsia="黑体" w:cs="黑体"/>
                <w:i w:val="0"/>
                <w:caps w:val="0"/>
                <w:color w:val="343434"/>
                <w:spacing w:val="0"/>
                <w:kern w:val="0"/>
                <w:sz w:val="28"/>
                <w:szCs w:val="28"/>
                <w:lang w:val="en-US" w:eastAsia="zh-CN" w:bidi="ar"/>
              </w:rPr>
              <w:t>配套监管</w:t>
            </w:r>
          </w:p>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default" w:ascii="仿宋_GB2312" w:hAnsi="仿宋_GB2312" w:eastAsia="仿宋_GB2312" w:cs="仿宋_GB2312"/>
                <w:b w:val="0"/>
                <w:bCs w:val="0"/>
                <w:i w:val="0"/>
                <w:caps w:val="0"/>
                <w:color w:val="auto"/>
                <w:spacing w:val="0"/>
                <w:kern w:val="0"/>
                <w:sz w:val="21"/>
                <w:szCs w:val="21"/>
                <w:shd w:val="clear" w:color="auto" w:fill="FFFFFF"/>
                <w:lang w:val="en-US" w:eastAsia="zh-CN" w:bidi="ar"/>
              </w:rPr>
            </w:pPr>
          </w:p>
        </w:tc>
        <w:tc>
          <w:tcPr>
            <w:tcW w:w="220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eastAsia"/>
                <w:lang w:val="en-US" w:eastAsia="zh-CN"/>
              </w:rPr>
            </w:pPr>
          </w:p>
          <w:p>
            <w:pPr>
              <w:pStyle w:val="2"/>
              <w:rPr>
                <w:rFonts w:hint="eastAsia"/>
                <w:lang w:val="en-US" w:eastAsia="zh-CN"/>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pPr>
          </w:p>
        </w:tc>
        <w:tc>
          <w:tcPr>
            <w:tcW w:w="4388"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auto"/>
                <w:sz w:val="32"/>
                <w:szCs w:val="32"/>
                <w:vertAlign w:val="baseline"/>
                <w:lang w:val="en-US" w:eastAsia="zh-CN"/>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2206" w:type="dxa"/>
            <w:noWrap w:val="0"/>
            <w:vAlign w:val="top"/>
          </w:tcPr>
          <w:p>
            <w:pPr>
              <w:pStyle w:val="2"/>
              <w:rPr>
                <w:rFonts w:hint="eastAsia"/>
                <w:lang w:val="en-US" w:eastAsia="zh-CN"/>
              </w:rPr>
            </w:pPr>
          </w:p>
          <w:p>
            <w:pPr>
              <w:pStyle w:val="2"/>
              <w:rPr>
                <w:rFonts w:hint="eastAsia"/>
                <w:lang w:val="en-US" w:eastAsia="zh-CN"/>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4388"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2206" w:type="dxa"/>
            <w:noWrap w:val="0"/>
            <w:vAlign w:val="top"/>
          </w:tcPr>
          <w:p>
            <w:pPr>
              <w:pStyle w:val="2"/>
              <w:rPr>
                <w:rFonts w:hint="eastAsia" w:ascii="仿宋_GB2312" w:hAnsi="仿宋_GB2312" w:eastAsia="仿宋_GB2312" w:cs="仿宋_GB2312"/>
                <w:b/>
                <w:bCs/>
                <w:kern w:val="2"/>
                <w:sz w:val="44"/>
                <w:szCs w:val="44"/>
                <w:vertAlign w:val="baseline"/>
                <w:lang w:val="en-US" w:eastAsia="zh-CN" w:bidi="ar-SA"/>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4388"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r>
    </w:tbl>
    <w:p>
      <w:pPr>
        <w:widowControl w:val="0"/>
        <w:spacing w:after="120"/>
        <w:jc w:val="both"/>
        <w:rPr>
          <w:rFonts w:hint="default" w:ascii="仿宋_GB2312" w:hAnsi="仿宋_GB2312" w:eastAsia="仿宋_GB2312" w:cs="仿宋_GB2312"/>
          <w:kern w:val="2"/>
          <w:sz w:val="32"/>
          <w:szCs w:val="32"/>
          <w:lang w:val="en-US" w:eastAsia="zh-CN" w:bidi="ar-SA"/>
        </w:rPr>
      </w:pPr>
    </w:p>
    <w:p>
      <w:pPr>
        <w:widowControl w:val="0"/>
        <w:spacing w:after="120"/>
        <w:jc w:val="both"/>
        <w:rPr>
          <w:rFonts w:hint="default" w:ascii="仿宋_GB2312" w:hAnsi="仿宋_GB2312" w:eastAsia="仿宋_GB2312" w:cs="仿宋_GB2312"/>
          <w:kern w:val="2"/>
          <w:sz w:val="32"/>
          <w:szCs w:val="32"/>
          <w:lang w:val="en-US" w:eastAsia="zh-CN" w:bidi="ar-SA"/>
        </w:rPr>
      </w:pPr>
    </w:p>
    <w:p>
      <w:pPr>
        <w:widowControl w:val="0"/>
        <w:spacing w:after="120"/>
        <w:jc w:val="both"/>
        <w:rPr>
          <w:rFonts w:hint="default" w:ascii="仿宋_GB2312" w:hAnsi="仿宋_GB2312" w:eastAsia="仿宋_GB2312" w:cs="仿宋_GB2312"/>
          <w:kern w:val="2"/>
          <w:sz w:val="32"/>
          <w:szCs w:val="32"/>
          <w:lang w:val="en-US" w:eastAsia="zh-CN" w:bidi="ar-SA"/>
        </w:rPr>
      </w:pPr>
    </w:p>
    <w:p>
      <w:pPr>
        <w:widowControl w:val="0"/>
        <w:spacing w:after="120"/>
        <w:jc w:val="both"/>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附件</w:t>
      </w:r>
      <w:r>
        <w:rPr>
          <w:rFonts w:hint="eastAsia" w:ascii="仿宋_GB2312" w:hAnsi="仿宋_GB2312" w:eastAsia="仿宋_GB2312" w:cs="仿宋_GB2312"/>
          <w:kern w:val="2"/>
          <w:sz w:val="32"/>
          <w:szCs w:val="32"/>
          <w:lang w:val="en-US" w:eastAsia="zh-CN" w:bidi="ar-SA"/>
        </w:rPr>
        <w:t>3</w:t>
      </w:r>
    </w:p>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default" w:ascii="仿宋_GB2312" w:hAnsi="仿宋_GB2312" w:eastAsia="仿宋_GB2312" w:cs="仿宋_GB2312"/>
          <w:b/>
          <w:bCs/>
          <w:kern w:val="2"/>
          <w:sz w:val="44"/>
          <w:szCs w:val="44"/>
          <w:lang w:val="en-US" w:eastAsia="zh-CN" w:bidi="ar-SA"/>
        </w:rPr>
      </w:pPr>
      <w:r>
        <w:rPr>
          <w:rFonts w:hint="eastAsia" w:ascii="仿宋_GB2312" w:hAnsi="仿宋_GB2312" w:eastAsia="仿宋_GB2312" w:cs="仿宋_GB2312"/>
          <w:b/>
          <w:bCs/>
          <w:kern w:val="2"/>
          <w:sz w:val="44"/>
          <w:szCs w:val="44"/>
          <w:lang w:val="en-US" w:eastAsia="zh-CN" w:bidi="ar-SA"/>
        </w:rPr>
        <w:t>一般</w:t>
      </w:r>
      <w:r>
        <w:rPr>
          <w:rFonts w:hint="default" w:ascii="仿宋_GB2312" w:hAnsi="仿宋_GB2312" w:eastAsia="仿宋_GB2312" w:cs="仿宋_GB2312"/>
          <w:b/>
          <w:bCs/>
          <w:kern w:val="2"/>
          <w:sz w:val="44"/>
          <w:szCs w:val="44"/>
          <w:lang w:val="en-US" w:eastAsia="zh-CN" w:bidi="ar-SA"/>
        </w:rPr>
        <w:t>违法行为</w:t>
      </w:r>
      <w:r>
        <w:rPr>
          <w:rFonts w:hint="eastAsia" w:ascii="仿宋_GB2312" w:hAnsi="仿宋_GB2312" w:eastAsia="仿宋_GB2312" w:cs="仿宋_GB2312"/>
          <w:b/>
          <w:bCs/>
          <w:kern w:val="2"/>
          <w:sz w:val="44"/>
          <w:szCs w:val="44"/>
          <w:lang w:val="en-US" w:eastAsia="zh-CN" w:bidi="ar-SA"/>
        </w:rPr>
        <w:t>减轻行政</w:t>
      </w:r>
      <w:r>
        <w:rPr>
          <w:rFonts w:hint="default" w:ascii="仿宋_GB2312" w:hAnsi="仿宋_GB2312" w:eastAsia="仿宋_GB2312" w:cs="仿宋_GB2312"/>
          <w:b/>
          <w:bCs/>
          <w:kern w:val="2"/>
          <w:sz w:val="44"/>
          <w:szCs w:val="44"/>
          <w:lang w:val="en-US" w:eastAsia="zh-CN" w:bidi="ar-SA"/>
        </w:rPr>
        <w:t>处罚清单</w:t>
      </w:r>
    </w:p>
    <w:p>
      <w:pPr>
        <w:widowControl w:val="0"/>
        <w:spacing w:after="120"/>
        <w:jc w:val="both"/>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单位：</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206"/>
        <w:gridCol w:w="3730"/>
        <w:gridCol w:w="4388"/>
        <w:gridCol w:w="1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7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ascii="黑体" w:hAnsi="宋体" w:eastAsia="黑体" w:cs="黑体"/>
                <w:i w:val="0"/>
                <w:caps w:val="0"/>
                <w:color w:val="343434"/>
                <w:spacing w:val="0"/>
                <w:kern w:val="0"/>
                <w:sz w:val="28"/>
                <w:szCs w:val="28"/>
                <w:lang w:val="en-US" w:eastAsia="zh-CN" w:bidi="ar"/>
              </w:rPr>
              <w:t>序号</w:t>
            </w:r>
          </w:p>
        </w:tc>
        <w:tc>
          <w:tcPr>
            <w:tcW w:w="220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违法行为</w:t>
            </w:r>
          </w:p>
        </w:tc>
        <w:tc>
          <w:tcPr>
            <w:tcW w:w="373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减轻</w:t>
            </w:r>
            <w:r>
              <w:rPr>
                <w:rFonts w:ascii="黑体" w:hAnsi="宋体" w:eastAsia="黑体" w:cs="黑体"/>
                <w:i w:val="0"/>
                <w:caps w:val="0"/>
                <w:color w:val="343434"/>
                <w:spacing w:val="0"/>
                <w:kern w:val="0"/>
                <w:sz w:val="28"/>
                <w:szCs w:val="28"/>
                <w:lang w:val="en-US" w:eastAsia="zh-CN" w:bidi="ar"/>
              </w:rPr>
              <w:t>处罚的情形</w:t>
            </w:r>
          </w:p>
        </w:tc>
        <w:tc>
          <w:tcPr>
            <w:tcW w:w="4388"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法律</w:t>
            </w:r>
            <w:r>
              <w:rPr>
                <w:rFonts w:ascii="黑体" w:hAnsi="宋体" w:eastAsia="黑体" w:cs="黑体"/>
                <w:i w:val="0"/>
                <w:caps w:val="0"/>
                <w:color w:val="343434"/>
                <w:spacing w:val="0"/>
                <w:kern w:val="0"/>
                <w:sz w:val="28"/>
                <w:szCs w:val="28"/>
                <w:lang w:val="en-US" w:eastAsia="zh-CN" w:bidi="ar"/>
              </w:rPr>
              <w:t>依据</w:t>
            </w:r>
          </w:p>
        </w:tc>
        <w:tc>
          <w:tcPr>
            <w:tcW w:w="1872"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黑体" w:hAnsi="宋体" w:eastAsia="黑体" w:cs="黑体"/>
                <w:i w:val="0"/>
                <w:caps w:val="0"/>
                <w:color w:val="343434"/>
                <w:spacing w:val="0"/>
                <w:kern w:val="0"/>
                <w:sz w:val="28"/>
                <w:szCs w:val="28"/>
                <w:lang w:val="en-US" w:eastAsia="zh-CN" w:bidi="ar"/>
              </w:rPr>
            </w:pPr>
            <w:r>
              <w:rPr>
                <w:rFonts w:hint="eastAsia" w:ascii="黑体" w:hAnsi="宋体" w:eastAsia="黑体" w:cs="黑体"/>
                <w:i w:val="0"/>
                <w:caps w:val="0"/>
                <w:color w:val="343434"/>
                <w:spacing w:val="0"/>
                <w:kern w:val="0"/>
                <w:sz w:val="28"/>
                <w:szCs w:val="28"/>
                <w:lang w:val="en-US" w:eastAsia="zh-CN" w:bidi="ar"/>
              </w:rPr>
              <w:t>配套监管</w:t>
            </w:r>
          </w:p>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sz w:val="40"/>
                <w:szCs w:val="40"/>
                <w:vertAlign w:val="baseline"/>
                <w:lang w:val="en-US" w:eastAsia="zh-CN"/>
              </w:rPr>
            </w:pPr>
            <w:r>
              <w:rPr>
                <w:rFonts w:hint="eastAsia" w:ascii="黑体" w:hAnsi="宋体" w:eastAsia="黑体" w:cs="黑体"/>
                <w:i w:val="0"/>
                <w:caps w:val="0"/>
                <w:color w:val="343434"/>
                <w:spacing w:val="0"/>
                <w:kern w:val="0"/>
                <w:sz w:val="28"/>
                <w:szCs w:val="28"/>
                <w:lang w:val="en-US" w:eastAsia="zh-CN" w:bidi="ar"/>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default" w:ascii="仿宋_GB2312" w:hAnsi="仿宋_GB2312" w:eastAsia="仿宋_GB2312" w:cs="仿宋_GB2312"/>
                <w:b w:val="0"/>
                <w:bCs w:val="0"/>
                <w:i w:val="0"/>
                <w:caps w:val="0"/>
                <w:color w:val="auto"/>
                <w:spacing w:val="0"/>
                <w:kern w:val="0"/>
                <w:sz w:val="21"/>
                <w:szCs w:val="21"/>
                <w:shd w:val="clear" w:color="auto" w:fill="FFFFFF"/>
                <w:lang w:val="en-US" w:eastAsia="zh-CN" w:bidi="ar"/>
              </w:rPr>
            </w:pPr>
          </w:p>
        </w:tc>
        <w:tc>
          <w:tcPr>
            <w:tcW w:w="220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eastAsia"/>
                <w:lang w:val="en-US" w:eastAsia="zh-CN"/>
              </w:rPr>
            </w:pPr>
          </w:p>
          <w:p>
            <w:pPr>
              <w:pStyle w:val="2"/>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left"/>
              <w:textAlignment w:val="auto"/>
              <w:rPr>
                <w:rFonts w:hint="eastAsia" w:ascii="仿宋_GB2312" w:hAnsi="仿宋_GB2312" w:eastAsia="仿宋_GB2312" w:cs="仿宋_GB2312"/>
                <w:b w:val="0"/>
                <w:bCs w:val="0"/>
                <w:i w:val="0"/>
                <w:caps w:val="0"/>
                <w:color w:val="auto"/>
                <w:spacing w:val="0"/>
                <w:kern w:val="0"/>
                <w:sz w:val="21"/>
                <w:szCs w:val="21"/>
                <w:shd w:val="clear" w:color="auto" w:fill="FFFFFF"/>
                <w:lang w:val="en-US" w:eastAsia="zh-CN" w:bidi="ar"/>
              </w:rPr>
            </w:pPr>
          </w:p>
        </w:tc>
        <w:tc>
          <w:tcPr>
            <w:tcW w:w="4388"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auto"/>
                <w:sz w:val="32"/>
                <w:szCs w:val="32"/>
                <w:vertAlign w:val="baseline"/>
                <w:lang w:val="en-US" w:eastAsia="zh-CN"/>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32"/>
                <w:szCs w:val="3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2206" w:type="dxa"/>
            <w:noWrap w:val="0"/>
            <w:vAlign w:val="top"/>
          </w:tcPr>
          <w:p>
            <w:pPr>
              <w:pStyle w:val="2"/>
              <w:rPr>
                <w:rFonts w:hint="eastAsia" w:ascii="仿宋_GB2312" w:hAnsi="仿宋_GB2312" w:eastAsia="仿宋_GB2312" w:cs="仿宋_GB2312"/>
                <w:b/>
                <w:bCs/>
                <w:kern w:val="2"/>
                <w:sz w:val="44"/>
                <w:szCs w:val="44"/>
                <w:vertAlign w:val="baseline"/>
                <w:lang w:val="en-US" w:eastAsia="zh-CN" w:bidi="ar-SA"/>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4388"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76"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2206" w:type="dxa"/>
            <w:noWrap w:val="0"/>
            <w:vAlign w:val="top"/>
          </w:tcPr>
          <w:p>
            <w:pPr>
              <w:pStyle w:val="2"/>
              <w:rPr>
                <w:rFonts w:hint="eastAsia" w:ascii="仿宋_GB2312" w:hAnsi="仿宋_GB2312" w:eastAsia="仿宋_GB2312" w:cs="仿宋_GB2312"/>
                <w:b/>
                <w:bCs/>
                <w:kern w:val="2"/>
                <w:sz w:val="44"/>
                <w:szCs w:val="44"/>
                <w:vertAlign w:val="baseline"/>
                <w:lang w:val="en-US" w:eastAsia="zh-CN" w:bidi="ar-SA"/>
              </w:rPr>
            </w:pPr>
          </w:p>
        </w:tc>
        <w:tc>
          <w:tcPr>
            <w:tcW w:w="3730"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4388"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c>
          <w:tcPr>
            <w:tcW w:w="1872" w:type="dxa"/>
            <w:noWrap w:val="0"/>
            <w:vAlign w:val="top"/>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bCs/>
                <w:kern w:val="2"/>
                <w:sz w:val="44"/>
                <w:szCs w:val="44"/>
                <w:vertAlign w:val="baseline"/>
                <w:lang w:val="en-US" w:eastAsia="zh-CN" w:bidi="ar-SA"/>
              </w:rPr>
            </w:pPr>
          </w:p>
        </w:tc>
      </w:tr>
    </w:tbl>
    <w:p>
      <w:pPr>
        <w:pStyle w:val="2"/>
        <w:jc w:val="both"/>
        <w:rPr>
          <w:rFonts w:hint="default" w:ascii="仿宋_GB2312" w:hAnsi="仿宋_GB2312" w:eastAsia="仿宋_GB2312" w:cs="仿宋_GB2312"/>
          <w:kern w:val="2"/>
          <w:sz w:val="32"/>
          <w:szCs w:val="32"/>
          <w:lang w:val="en-US" w:eastAsia="zh-CN" w:bidi="ar-SA"/>
        </w:rPr>
      </w:pPr>
    </w:p>
    <w:p>
      <w:pPr>
        <w:pStyle w:val="6"/>
        <w:ind w:left="0" w:leftChars="0" w:firstLine="0" w:firstLineChars="0"/>
        <w:rPr>
          <w:rFonts w:hint="eastAsia"/>
          <w:lang w:val="en-US" w:eastAsia="zh-CN"/>
        </w:rPr>
      </w:pPr>
    </w:p>
    <w:sectPr>
      <w:headerReference r:id="rId4" w:type="default"/>
      <w:footerReference r:id="rId5" w:type="default"/>
      <w:pgSz w:w="16838" w:h="11906" w:orient="landscape"/>
      <w:pgMar w:top="1531" w:right="2098" w:bottom="1531" w:left="1984" w:header="850" w:footer="1587" w:gutter="0"/>
      <w:pgNumType w:fmt="numberInDash"/>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00"/>
    <w:family w:val="auto"/>
    <w:pitch w:val="default"/>
    <w:sig w:usb0="00000000" w:usb1="00000000"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宋体"/>
    <w:panose1 w:val="02010609060101010101"/>
    <w:charset w:val="00"/>
    <w:family w:val="auto"/>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 w:name="华文仿宋">
    <w:panose1 w:val="02010600040101010101"/>
    <w:charset w:val="86"/>
    <w:family w:val="auto"/>
    <w:pitch w:val="default"/>
    <w:sig w:usb0="00000287" w:usb1="080F0000" w:usb2="00000000" w:usb3="00000000" w:csb0="0004009F" w:csb1="DFD7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M6pebnPAAAABQEAAA8AAAAAAAAAAQAgAAAAOAAAAGRycy9kb3ducmV2Lnht&#10;bFBLAQIUABQAAAAIAIdO4kAszGsKswEAAFIDAAAOAAAAAAAAAAEAIAAAADQBAABkcnMvZTJvRG9j&#10;LnhtbFBLBQYAAAAABgAGAFkBAABZBQAAAAA=&#10;">
              <v:fill on="f" focussize="0,0"/>
              <v:stroke on="f"/>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F4A30"/>
    <w:multiLevelType w:val="singleLevel"/>
    <w:tmpl w:val="FEFF4A3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9"/>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4927D4"/>
    <w:rsid w:val="024C10DF"/>
    <w:rsid w:val="07BC0DAC"/>
    <w:rsid w:val="0A540C00"/>
    <w:rsid w:val="13F36C79"/>
    <w:rsid w:val="162A10E5"/>
    <w:rsid w:val="17B14B18"/>
    <w:rsid w:val="17DFAB4D"/>
    <w:rsid w:val="19531CC5"/>
    <w:rsid w:val="1DA260D0"/>
    <w:rsid w:val="1DAB016E"/>
    <w:rsid w:val="1DF16562"/>
    <w:rsid w:val="1E21539E"/>
    <w:rsid w:val="1E5F5A8C"/>
    <w:rsid w:val="21DA0E82"/>
    <w:rsid w:val="23124857"/>
    <w:rsid w:val="25950EE5"/>
    <w:rsid w:val="26A922B3"/>
    <w:rsid w:val="2E5A05A2"/>
    <w:rsid w:val="30EF2E3A"/>
    <w:rsid w:val="338B5001"/>
    <w:rsid w:val="36EF592D"/>
    <w:rsid w:val="3B3D8260"/>
    <w:rsid w:val="3BEB1885"/>
    <w:rsid w:val="3C5D50E6"/>
    <w:rsid w:val="3D203000"/>
    <w:rsid w:val="3DCF8ECE"/>
    <w:rsid w:val="3FFB23E2"/>
    <w:rsid w:val="40112199"/>
    <w:rsid w:val="40C92F22"/>
    <w:rsid w:val="42592EE9"/>
    <w:rsid w:val="430C62EA"/>
    <w:rsid w:val="468C5F8A"/>
    <w:rsid w:val="4722133E"/>
    <w:rsid w:val="4A757467"/>
    <w:rsid w:val="4C2A525A"/>
    <w:rsid w:val="51836EF4"/>
    <w:rsid w:val="51AA5BB3"/>
    <w:rsid w:val="52A94D80"/>
    <w:rsid w:val="52AF70BA"/>
    <w:rsid w:val="54F07E95"/>
    <w:rsid w:val="57D7A0B7"/>
    <w:rsid w:val="581B67E7"/>
    <w:rsid w:val="589C2DD8"/>
    <w:rsid w:val="5A4927D4"/>
    <w:rsid w:val="5BA0167C"/>
    <w:rsid w:val="5BAA678B"/>
    <w:rsid w:val="5CE211B1"/>
    <w:rsid w:val="5CFE1A21"/>
    <w:rsid w:val="5EBD0AB0"/>
    <w:rsid w:val="5FBF87C3"/>
    <w:rsid w:val="6060059A"/>
    <w:rsid w:val="61245756"/>
    <w:rsid w:val="63263DA4"/>
    <w:rsid w:val="63EA1720"/>
    <w:rsid w:val="64634DBC"/>
    <w:rsid w:val="65CA59DE"/>
    <w:rsid w:val="67CE8ECC"/>
    <w:rsid w:val="68D442AA"/>
    <w:rsid w:val="6B4C3C81"/>
    <w:rsid w:val="6DDBA385"/>
    <w:rsid w:val="6E5FFFC5"/>
    <w:rsid w:val="6FBE1242"/>
    <w:rsid w:val="731C5C66"/>
    <w:rsid w:val="734C7137"/>
    <w:rsid w:val="7766BA62"/>
    <w:rsid w:val="780F5200"/>
    <w:rsid w:val="793AECEB"/>
    <w:rsid w:val="793B69B5"/>
    <w:rsid w:val="798B0B19"/>
    <w:rsid w:val="79B7AA5D"/>
    <w:rsid w:val="7A7C789F"/>
    <w:rsid w:val="7BF1E24E"/>
    <w:rsid w:val="7D172A1E"/>
    <w:rsid w:val="7E7E2CF4"/>
    <w:rsid w:val="7EFD3332"/>
    <w:rsid w:val="7F2FCC30"/>
    <w:rsid w:val="7F3F4C16"/>
    <w:rsid w:val="7FF783FC"/>
    <w:rsid w:val="7FFDBC95"/>
    <w:rsid w:val="7FFE47BA"/>
    <w:rsid w:val="8FFF7557"/>
    <w:rsid w:val="9AF5D7F0"/>
    <w:rsid w:val="9DF706D5"/>
    <w:rsid w:val="9DFAD053"/>
    <w:rsid w:val="BA7B23C6"/>
    <w:rsid w:val="BFBFDA53"/>
    <w:rsid w:val="D4DF5987"/>
    <w:rsid w:val="D7EF62AA"/>
    <w:rsid w:val="DE6FBE12"/>
    <w:rsid w:val="DE7CFAC6"/>
    <w:rsid w:val="E7EF2811"/>
    <w:rsid w:val="EBFDCD09"/>
    <w:rsid w:val="EF5F1811"/>
    <w:rsid w:val="EF7FCB64"/>
    <w:rsid w:val="F5DF8B50"/>
    <w:rsid w:val="F5FFBEFB"/>
    <w:rsid w:val="F6FF8337"/>
    <w:rsid w:val="F7776AE7"/>
    <w:rsid w:val="F7ABB1C5"/>
    <w:rsid w:val="F7FB71BB"/>
    <w:rsid w:val="FBFFC08C"/>
    <w:rsid w:val="FEDFB9D0"/>
    <w:rsid w:val="FEEFB270"/>
    <w:rsid w:val="FF6D2A46"/>
    <w:rsid w:val="FF7F1557"/>
    <w:rsid w:val="FFD3EDA4"/>
    <w:rsid w:val="FFDE27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4">
    <w:name w:val="Normal Indent"/>
    <w:basedOn w:val="1"/>
    <w:qFormat/>
    <w:uiPriority w:val="0"/>
    <w:pPr>
      <w:ind w:firstLine="200" w:firstLineChars="200"/>
    </w:pPr>
    <w:rPr>
      <w:rFonts w:ascii="Times New Roman" w:hAnsi="Times New Roman"/>
    </w:rPr>
  </w:style>
  <w:style w:type="paragraph" w:styleId="5">
    <w:name w:val="Salutation"/>
    <w:basedOn w:val="1"/>
    <w:next w:val="1"/>
    <w:qFormat/>
    <w:uiPriority w:val="0"/>
    <w:rPr>
      <w:rFonts w:ascii="Calibri" w:hAnsi="Calibri"/>
      <w:szCs w:val="21"/>
    </w:rPr>
  </w:style>
  <w:style w:type="paragraph" w:styleId="6">
    <w:name w:val="toc 3"/>
    <w:basedOn w:val="1"/>
    <w:next w:val="1"/>
    <w:unhideWhenUsed/>
    <w:qFormat/>
    <w:uiPriority w:val="39"/>
    <w:pPr>
      <w:ind w:left="420"/>
    </w:pPr>
    <w:rPr>
      <w:rFonts w:ascii="等线" w:hAnsi="等线" w:eastAsia="等线"/>
      <w:b/>
      <w:sz w:val="30"/>
      <w:szCs w:val="3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Body Text First Indent 2"/>
    <w:basedOn w:val="15"/>
    <w:qFormat/>
    <w:uiPriority w:val="0"/>
    <w:pPr>
      <w:ind w:firstLine="420" w:firstLineChars="200"/>
    </w:pPr>
  </w:style>
  <w:style w:type="paragraph" w:customStyle="1" w:styleId="15">
    <w:name w:val="Body Text Indent"/>
    <w:basedOn w:val="1"/>
    <w:next w:val="14"/>
    <w:qFormat/>
    <w:uiPriority w:val="0"/>
    <w:pPr>
      <w:ind w:left="420" w:leftChars="200"/>
    </w:pPr>
  </w:style>
  <w:style w:type="paragraph" w:customStyle="1" w:styleId="16">
    <w:name w:val=" Char1"/>
    <w:next w:val="1"/>
    <w:qFormat/>
    <w:uiPriority w:val="0"/>
    <w:pPr>
      <w:keepNext/>
      <w:keepLines/>
      <w:tabs>
        <w:tab w:val="left" w:pos="360"/>
      </w:tabs>
      <w:snapToGrid w:val="0"/>
      <w:spacing w:before="240" w:beforeLines="0" w:after="240" w:afterLines="0"/>
      <w:outlineLvl w:val="7"/>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sfj</Company>
  <Pages>1</Pages>
  <Words>0</Words>
  <Characters>0</Characters>
  <Lines>0</Lines>
  <Paragraphs>0</Paragraphs>
  <TotalTime>8</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2022-08-17T07:14:00Z</dcterms:created>
  <dc:creator>sy</dc:creator>
  <cp:lastModifiedBy>sfj</cp:lastModifiedBy>
  <cp:lastPrinted>2023-02-13T10:06:57Z</cp:lastPrinted>
  <dcterms:modified xsi:type="dcterms:W3CDTF">2023-02-13T10:07:28Z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